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DAB90">
      <w:pPr>
        <w:pStyle w:val="8"/>
        <w:spacing w:before="0" w:after="0" w:line="500" w:lineRule="exact"/>
        <w:rPr>
          <w:rFonts w:hint="eastAsia"/>
          <w:szCs w:val="44"/>
        </w:rPr>
      </w:pPr>
    </w:p>
    <w:p w14:paraId="0AFF9CC8">
      <w:pPr>
        <w:pStyle w:val="8"/>
        <w:spacing w:before="0" w:after="0" w:line="500" w:lineRule="exact"/>
        <w:rPr>
          <w:szCs w:val="44"/>
        </w:rPr>
      </w:pPr>
      <w:r>
        <w:rPr>
          <w:rFonts w:hint="eastAsia"/>
          <w:szCs w:val="44"/>
        </w:rPr>
        <w:t>永泰县第</w:t>
      </w:r>
      <w:r>
        <w:rPr>
          <w:szCs w:val="44"/>
        </w:rPr>
        <w:t>二</w:t>
      </w:r>
      <w:r>
        <w:rPr>
          <w:rFonts w:hint="eastAsia"/>
          <w:szCs w:val="44"/>
        </w:rPr>
        <w:t>水厂水质自动监测站</w:t>
      </w:r>
    </w:p>
    <w:p w14:paraId="0B2E62ED">
      <w:pPr>
        <w:pStyle w:val="8"/>
        <w:spacing w:before="0" w:after="0" w:line="500" w:lineRule="exact"/>
        <w:rPr>
          <w:szCs w:val="44"/>
        </w:rPr>
      </w:pPr>
      <w:r>
        <w:rPr>
          <w:rFonts w:hint="eastAsia"/>
          <w:szCs w:val="44"/>
        </w:rPr>
        <w:t>运维项目采购内容及要求</w:t>
      </w:r>
    </w:p>
    <w:p w14:paraId="6C89A9AC">
      <w:pPr>
        <w:pStyle w:val="2"/>
        <w:tabs>
          <w:tab w:val="left" w:pos="4785"/>
        </w:tabs>
        <w:rPr>
          <w:rFonts w:hint="eastAsia"/>
        </w:rPr>
      </w:pPr>
    </w:p>
    <w:p w14:paraId="0D95CF67">
      <w:pPr>
        <w:pStyle w:val="2"/>
        <w:pageBreakBefore w:val="0"/>
        <w:tabs>
          <w:tab w:val="left" w:pos="4785"/>
        </w:tabs>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r>
        <w:rPr>
          <w:rFonts w:hint="eastAsia" w:ascii="仿宋_GB2312" w:hAnsi="仿宋_GB2312" w:eastAsia="仿宋_GB2312" w:cs="仿宋_GB2312"/>
          <w:sz w:val="32"/>
          <w:szCs w:val="32"/>
        </w:rPr>
        <w:tab/>
      </w:r>
    </w:p>
    <w:p w14:paraId="474269D3">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1、项目总述</w:t>
      </w:r>
    </w:p>
    <w:p w14:paraId="59E2A176">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bookmarkStart w:id="0" w:name="_Hlk34210333"/>
      <w:r>
        <w:rPr>
          <w:rFonts w:hint="eastAsia" w:ascii="仿宋_GB2312" w:hAnsi="仿宋_GB2312" w:eastAsia="仿宋_GB2312" w:cs="仿宋_GB2312"/>
          <w:kern w:val="0"/>
          <w:sz w:val="32"/>
          <w:szCs w:val="32"/>
        </w:rPr>
        <w:t>对永泰县第二水厂水质自动监测站的取水系统、预处理系统、控制系统、数据记录和传输系统、仪器仪表及其它辅助设备及土建部分(包括站房、浮筒、护坡、内装饰、水电、网络监控、防雷设施等）进行运行管理和日常维保，</w:t>
      </w:r>
      <w:r>
        <w:rPr>
          <w:rFonts w:hint="eastAsia" w:ascii="仿宋_GB2312" w:hAnsi="仿宋_GB2312" w:eastAsia="仿宋_GB2312" w:cs="仿宋_GB2312"/>
          <w:color w:val="000000"/>
          <w:kern w:val="0"/>
          <w:sz w:val="32"/>
          <w:szCs w:val="32"/>
        </w:rPr>
        <w:t>水站日常质量管理，数据初审、数据上报、异常情况的处置等工作；</w:t>
      </w:r>
      <w:r>
        <w:rPr>
          <w:rFonts w:hint="eastAsia" w:ascii="仿宋_GB2312" w:hAnsi="仿宋_GB2312" w:eastAsia="仿宋_GB2312" w:cs="仿宋_GB2312"/>
          <w:kern w:val="0"/>
          <w:sz w:val="32"/>
          <w:szCs w:val="32"/>
        </w:rPr>
        <w:t>根据实际工作需求提供数据监控、分析服务。</w:t>
      </w:r>
    </w:p>
    <w:bookmarkEnd w:id="0"/>
    <w:p w14:paraId="66591597">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bookmarkStart w:id="1" w:name="_Hlk34210631"/>
      <w:r>
        <w:rPr>
          <w:rFonts w:hint="eastAsia" w:ascii="仿宋_GB2312" w:hAnsi="仿宋_GB2312" w:eastAsia="仿宋_GB2312" w:cs="仿宋_GB2312"/>
          <w:sz w:val="32"/>
          <w:szCs w:val="32"/>
        </w:rPr>
        <w:t>2、特别说明</w:t>
      </w:r>
    </w:p>
    <w:p w14:paraId="029E2703">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管理期限为2026年11月16日至2028年11月15日。报价应包括保证水站正常运行的一切费用，包括：水电费、通讯费、网络费、试剂费、标样费、旅差费、值守人员费、人工采样、分析费用、运行期间的仪器考核和比对费用、水站仪器设备及配套装置的修理费、数据监控及分析费用、更换零配件费用、仪器调试费、送修费、巡检费、土建部分管理和维修费、公司的税金及其他各种费用，还需考虑到合同中可能出现的索赔和变更。</w:t>
      </w:r>
      <w:bookmarkEnd w:id="1"/>
    </w:p>
    <w:p w14:paraId="084B59D0">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本项目如遇事权上收，则运维合同自动终止。</w:t>
      </w:r>
    </w:p>
    <w:p w14:paraId="4DC12B20">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中标人不得转包他人，若发现转包，采购人有权终止协议，并由中标人承担相关责任。</w:t>
      </w:r>
    </w:p>
    <w:p w14:paraId="06A03BB1">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二、技术和服务要求</w:t>
      </w:r>
    </w:p>
    <w:p w14:paraId="4C1EAE05">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(一)主要内容</w:t>
      </w:r>
      <w:bookmarkStart w:id="2" w:name="_Hlk34210737"/>
    </w:p>
    <w:p w14:paraId="5006E2E9">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(1)对水质自动监测站日常运行管理，每日上午8:30前对前一天数据开展审核，出现异常情况应向采购方报告。</w:t>
      </w:r>
    </w:p>
    <w:p w14:paraId="333BF078">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(2)对水质自动监测站的取水系统(包括浮筒和水泵的固定和升降设备)、预处理系统、控制系统、数据记录和传输系统(包括电脑、打印机、MODEN、UPS)、仪器仪表及其它辅助设备进行维修维保；</w:t>
      </w:r>
    </w:p>
    <w:p w14:paraId="1D84EDA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(3)对水质自动监测站的其它部分(包括站房、浮筒、护坡、内装饰、水电、防雷设施等)进行日常运行管理和维修维保；</w:t>
      </w:r>
    </w:p>
    <w:p w14:paraId="0F9F0DF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(4)保障监测数据采集、汇总、质控过程，确保数据真实性、有效性，并根据生态环境工作要求提供相应的数据汇总、分析服务；</w:t>
      </w:r>
    </w:p>
    <w:p w14:paraId="63E8A4A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（5）质量控制、数据审核及异常情况的处置。</w:t>
      </w:r>
    </w:p>
    <w:bookmarkEnd w:id="2"/>
    <w:p w14:paraId="6F02BE7D">
      <w:pPr>
        <w:pStyle w:val="2"/>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(二)运维总体要求</w:t>
      </w:r>
    </w:p>
    <w:p w14:paraId="5752B759">
      <w:pPr>
        <w:pageBreakBefore w:val="0"/>
        <w:widowControl/>
        <w:kinsoku/>
        <w:wordWrap/>
        <w:overflowPunct/>
        <w:topLinePunct w:val="0"/>
        <w:autoSpaceDE/>
        <w:autoSpaceDN/>
        <w:bidi w:val="0"/>
        <w:adjustRightInd/>
        <w:snapToGrid/>
        <w:spacing w:line="600" w:lineRule="exact"/>
        <w:ind w:right="45" w:firstLine="643" w:firstLineChars="200"/>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1、总体要求</w:t>
      </w:r>
    </w:p>
    <w:p w14:paraId="1B50A794">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bookmarkStart w:id="3" w:name="_Hlk34210775"/>
      <w:r>
        <w:rPr>
          <w:rFonts w:hint="eastAsia" w:ascii="仿宋_GB2312" w:hAnsi="仿宋_GB2312" w:eastAsia="仿宋_GB2312" w:cs="仿宋_GB2312"/>
          <w:kern w:val="0"/>
          <w:sz w:val="32"/>
          <w:szCs w:val="32"/>
        </w:rPr>
        <w:t>在委托运行管理期间，必须遵守国家的有关法律、法规及其他规定，依照规范，科学管理，使各水站系统及仪表运行达到国家及行业颁布的技术标准和考核指标要求；使其真正发挥其效能和作用。既要及时维修水站系统和仪表的故障，更要防范和减少故障，确保监测数据及时、科学和准确。运行管理需满足</w:t>
      </w:r>
      <w:bookmarkStart w:id="4" w:name="OLE_LINK4"/>
      <w:r>
        <w:rPr>
          <w:rFonts w:hint="eastAsia" w:ascii="仿宋_GB2312" w:hAnsi="仿宋_GB2312" w:eastAsia="仿宋_GB2312" w:cs="仿宋_GB2312"/>
          <w:kern w:val="0"/>
          <w:sz w:val="32"/>
          <w:szCs w:val="32"/>
        </w:rPr>
        <w:t>福建省环境监测中心站《福建省地表水自动监测站管理及运行维护技术要求(试行)》（闽环站函〔2019〕11号）（以下简称“《技术要求》”）</w:t>
      </w:r>
      <w:bookmarkEnd w:id="4"/>
      <w:r>
        <w:rPr>
          <w:rFonts w:hint="eastAsia" w:ascii="仿宋_GB2312" w:hAnsi="仿宋_GB2312" w:eastAsia="仿宋_GB2312" w:cs="仿宋_GB2312"/>
          <w:kern w:val="0"/>
          <w:sz w:val="32"/>
          <w:szCs w:val="32"/>
        </w:rPr>
        <w:t>、《关于福建省地表水自动监测监控平台升级启用及若干规定的通知》(闽环站字71号)规范文件的要求。</w:t>
      </w:r>
    </w:p>
    <w:bookmarkEnd w:id="3"/>
    <w:p w14:paraId="00398EDE">
      <w:pPr>
        <w:pageBreakBefore w:val="0"/>
        <w:widowControl/>
        <w:kinsoku/>
        <w:wordWrap/>
        <w:overflowPunct/>
        <w:topLinePunct w:val="0"/>
        <w:autoSpaceDE/>
        <w:autoSpaceDN/>
        <w:bidi w:val="0"/>
        <w:adjustRightInd/>
        <w:snapToGrid/>
        <w:spacing w:line="600" w:lineRule="exact"/>
        <w:ind w:right="45" w:firstLine="643" w:firstLineChars="200"/>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2、财产保护</w:t>
      </w:r>
    </w:p>
    <w:p w14:paraId="3B2A93AB">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bookmarkStart w:id="5" w:name="_Hlk34210812"/>
      <w:r>
        <w:rPr>
          <w:rFonts w:hint="eastAsia" w:ascii="仿宋_GB2312" w:hAnsi="仿宋_GB2312" w:eastAsia="仿宋_GB2312" w:cs="仿宋_GB2312"/>
          <w:kern w:val="0"/>
          <w:sz w:val="32"/>
          <w:szCs w:val="32"/>
        </w:rPr>
        <w:t>委托运行管理及维修的全部资产(包括全部产权和建筑物、设备及配套设施)属委托方所有。未经委托方同意，运维方不得以任何方式对各类财产进行出售、抵押或转移；同时，在委托运行管理及维修期间，运维方有责任保证上述全部资产的完整、安全并处于良好状态。</w:t>
      </w:r>
    </w:p>
    <w:p w14:paraId="6B6FE9BA">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kern w:val="0"/>
          <w:sz w:val="32"/>
          <w:szCs w:val="32"/>
        </w:rPr>
        <w:t>3、违约处置</w:t>
      </w:r>
    </w:p>
    <w:p w14:paraId="3F666E4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除不可抗力外，运维方如果不能达到上述1、2款的总体要求，委托方有权单方面终止委托合同的履行，中标人应向采购人支付违约金，违约金的金额为终止前三个月的运行管理及维修费总额。</w:t>
      </w:r>
      <w:bookmarkEnd w:id="5"/>
    </w:p>
    <w:p w14:paraId="57A21879">
      <w:pPr>
        <w:pStyle w:val="2"/>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(三)运维具体要求</w:t>
      </w:r>
    </w:p>
    <w:p w14:paraId="0091C303">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1、委托运行管理和维修期限：</w:t>
      </w:r>
    </w:p>
    <w:p w14:paraId="0C44A474">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委托运行管理和维修的期限为2026年11月16日至2028年11月15日。双方签订合同后即开始水站财产移交和管理交接工作。</w:t>
      </w:r>
      <w:bookmarkStart w:id="6" w:name="_Hlk34210869"/>
    </w:p>
    <w:p w14:paraId="6D024BD9">
      <w:pPr>
        <w:pageBreakBefore w:val="0"/>
        <w:widowControl/>
        <w:kinsoku/>
        <w:wordWrap/>
        <w:overflowPunct/>
        <w:topLinePunct w:val="0"/>
        <w:autoSpaceDE/>
        <w:autoSpaceDN/>
        <w:bidi w:val="0"/>
        <w:adjustRightInd/>
        <w:snapToGrid/>
        <w:spacing w:line="600" w:lineRule="exact"/>
        <w:ind w:right="45"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2、服</w:t>
      </w:r>
      <w:bookmarkStart w:id="14" w:name="_GoBack"/>
      <w:bookmarkEnd w:id="14"/>
      <w:r>
        <w:rPr>
          <w:rFonts w:hint="eastAsia" w:ascii="仿宋_GB2312" w:hAnsi="仿宋_GB2312" w:eastAsia="仿宋_GB2312" w:cs="仿宋_GB2312"/>
          <w:b/>
          <w:bCs/>
          <w:kern w:val="2"/>
          <w:sz w:val="32"/>
          <w:szCs w:val="32"/>
          <w:lang w:val="en-US" w:eastAsia="zh-CN" w:bidi="ar-SA"/>
        </w:rPr>
        <w:t>务要求</w:t>
      </w:r>
    </w:p>
    <w:p w14:paraId="0C24C34A">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(1)运维方在签订合同前须出具能够实时保障当地运维工作的证明材料，如分公司营业执照、办事处相关材料或其他合作协议等。</w:t>
      </w:r>
    </w:p>
    <w:p w14:paraId="7964A04E">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(2)运维人员须持证上岗。</w:t>
      </w:r>
      <w:bookmarkEnd w:id="6"/>
    </w:p>
    <w:p w14:paraId="2466D9E8">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（3）具备支撑运行维护相应水质指标所必须的实验室手工分析的能力和符合要求的工作场所，制订覆盖运维全过程的管理制度和相应的作业指导书、日常运行维护维修工作记录表。</w:t>
      </w:r>
    </w:p>
    <w:p w14:paraId="18C25FA4">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（4）安排技术人员进行定期巡检，巡检频次不少于每周1次。水站日常定期保养与维护按照《技术要求》第3.2.4点开展。</w:t>
      </w:r>
    </w:p>
    <w:p w14:paraId="73DBDF8E">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（5）质量控制：水质质控措施应按照《技术要求》表2规定的质控项目开展水质质控措施，实施频次应不低于表2规定；其他质控要求按照第3.3.2点开展。</w:t>
      </w:r>
    </w:p>
    <w:p w14:paraId="551C47A4">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（6）数据审核：运维单位每日对数据开展一级审核。</w:t>
      </w:r>
    </w:p>
    <w:p w14:paraId="38F53E90">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（7）仪器设备异常、供电通讯等外部条件异常以及水质监测结果异常应按照《技术要求》第3.5点进行及时处置。确认仪器或通讯异常，</w:t>
      </w:r>
      <w:r>
        <w:rPr>
          <w:rFonts w:hint="eastAsia" w:ascii="仿宋_GB2312" w:hAnsi="仿宋_GB2312" w:eastAsia="仿宋_GB2312" w:cs="仿宋_GB2312"/>
          <w:kern w:val="0"/>
          <w:sz w:val="32"/>
          <w:szCs w:val="32"/>
        </w:rPr>
        <w:t>运维单位应在1小时（工作时间）内立刻响应并在12小时以内解决所有故障；对</w:t>
      </w:r>
      <w:r>
        <w:rPr>
          <w:rFonts w:hint="eastAsia" w:ascii="仿宋_GB2312" w:hAnsi="仿宋_GB2312" w:eastAsia="仿宋_GB2312" w:cs="仿宋_GB2312"/>
          <w:color w:val="000000"/>
          <w:kern w:val="0"/>
          <w:sz w:val="32"/>
          <w:szCs w:val="32"/>
        </w:rPr>
        <w:t>于不易诊断和检修的故障或24小时内无法排除的仪器故障，应采用备机代替发生故障的仪器。</w:t>
      </w:r>
    </w:p>
    <w:p w14:paraId="336DE7F0">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3、运行管理和维修考核指标</w:t>
      </w:r>
    </w:p>
    <w:p w14:paraId="1A67C2EC">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bookmarkStart w:id="7" w:name="_Hlk34210951"/>
      <w:r>
        <w:rPr>
          <w:rFonts w:hint="eastAsia" w:ascii="仿宋_GB2312" w:hAnsi="仿宋_GB2312" w:eastAsia="仿宋_GB2312" w:cs="仿宋_GB2312"/>
          <w:b/>
          <w:bCs/>
          <w:kern w:val="0"/>
          <w:sz w:val="32"/>
          <w:szCs w:val="32"/>
        </w:rPr>
        <w:t>(1)水质自动站运行管理考核指标：</w:t>
      </w:r>
      <w:bookmarkEnd w:id="7"/>
    </w:p>
    <w:p w14:paraId="19AD9E52">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bookmarkStart w:id="8" w:name="_Hlk34210932"/>
      <w:r>
        <w:rPr>
          <w:rFonts w:hint="eastAsia" w:ascii="仿宋_GB2312" w:hAnsi="仿宋_GB2312" w:eastAsia="仿宋_GB2312" w:cs="仿宋_GB2312"/>
          <w:kern w:val="0"/>
          <w:sz w:val="32"/>
          <w:szCs w:val="32"/>
        </w:rPr>
        <w:t>①有效数据捕集率：水质自动站每天每个参数捕集到日报要求的数据并及时、准确的上传水环境质量管理平台方为数据采集有效。以单参数考核，每周有效天数不少于日报要求的5天(除外部停电或其他不可抗拒的原因外)。若遇到停电、仪表故障等原因不能满足日报要求的，运维人员必须派人进行人工采样分析，分析结果报给采购人，如果不具备监测项目分析能力的应委托有资质的监测单位进行分析并出具报告，费用由运维方负责，进行人工采样分析的人员必须具备环境监测上岗资质。</w:t>
      </w:r>
    </w:p>
    <w:p w14:paraId="349F6750">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②开机率：避免为了降低监测费用，出现人为停机的现象，除外部停电或其他不可抗拒的原因外，每半年水</w:t>
      </w:r>
      <w:commentRangeStart w:id="0"/>
      <w:r>
        <w:rPr>
          <w:rFonts w:hint="eastAsia" w:ascii="仿宋_GB2312" w:hAnsi="仿宋_GB2312" w:eastAsia="仿宋_GB2312" w:cs="仿宋_GB2312"/>
          <w:kern w:val="0"/>
          <w:sz w:val="32"/>
          <w:szCs w:val="32"/>
        </w:rPr>
        <w:t>站</w:t>
      </w:r>
      <w:commentRangeEnd w:id="0"/>
      <w:r>
        <w:rPr>
          <w:rFonts w:hint="eastAsia" w:ascii="仿宋_GB2312" w:hAnsi="仿宋_GB2312" w:eastAsia="仿宋_GB2312" w:cs="仿宋_GB2312"/>
          <w:kern w:val="0"/>
          <w:sz w:val="32"/>
          <w:szCs w:val="32"/>
        </w:rPr>
        <w:commentReference w:id="0"/>
      </w:r>
      <w:r>
        <w:rPr>
          <w:rFonts w:hint="eastAsia" w:ascii="仿宋_GB2312" w:hAnsi="仿宋_GB2312" w:eastAsia="仿宋_GB2312" w:cs="仿宋_GB2312"/>
          <w:kern w:val="0"/>
          <w:sz w:val="32"/>
          <w:szCs w:val="32"/>
        </w:rPr>
        <w:t>累计出现24小时以上的停机次数应少于10次。同一时段整个系统停机或单个参数停机只计一次，每36小时计一次。若确实需要停机，需提前报告。</w:t>
      </w:r>
    </w:p>
    <w:p w14:paraId="624B3264">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③数据质量要求：</w:t>
      </w:r>
    </w:p>
    <w:p w14:paraId="79D9075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仪器性能核查内容及频次按《关于福建省地表水自动监测监控平台升级启用及若干规定的通知》(闽环站字71号)执行，核查结果逢季度末报业主单位。</w:t>
      </w:r>
    </w:p>
    <w:p w14:paraId="15FC36E1">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运维方须按照质控要求</w:t>
      </w:r>
      <w:r>
        <w:rPr>
          <w:rFonts w:hint="eastAsia" w:ascii="仿宋_GB2312" w:hAnsi="仿宋_GB2312" w:eastAsia="仿宋_GB2312" w:cs="仿宋_GB2312"/>
          <w:color w:val="000000"/>
          <w:kern w:val="0"/>
          <w:sz w:val="32"/>
          <w:szCs w:val="32"/>
        </w:rPr>
        <w:t>，认真开展每季度的盲样考核及实际水样比对考核，须配合上级监测站开展水站仪器性能考核</w:t>
      </w:r>
      <w:r>
        <w:rPr>
          <w:rFonts w:hint="eastAsia" w:ascii="仿宋_GB2312" w:hAnsi="仿宋_GB2312" w:eastAsia="仿宋_GB2312" w:cs="仿宋_GB2312"/>
          <w:kern w:val="0"/>
          <w:sz w:val="32"/>
          <w:szCs w:val="32"/>
        </w:rPr>
        <w:t>及数据比对工作。</w:t>
      </w:r>
    </w:p>
    <w:p w14:paraId="07D2234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④水质污染事件及时报采购人</w:t>
      </w:r>
    </w:p>
    <w:p w14:paraId="23A0A7A6">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发现水站出现异常数据，要具体分析是仪器故障还是水质污染。确定是水质污染事件的，要以环境监测快报等形式及时报采购人，并留样备查。出现水质污染事件及时报业主</w:t>
      </w:r>
      <w:bookmarkEnd w:id="8"/>
      <w:r>
        <w:rPr>
          <w:rFonts w:hint="eastAsia" w:ascii="仿宋_GB2312" w:hAnsi="仿宋_GB2312" w:eastAsia="仿宋_GB2312" w:cs="仿宋_GB2312"/>
          <w:kern w:val="0"/>
          <w:sz w:val="32"/>
          <w:szCs w:val="32"/>
        </w:rPr>
        <w:t>。</w:t>
      </w:r>
    </w:p>
    <w:p w14:paraId="654C5602">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(2)水质自动站的维修考核指标：</w:t>
      </w:r>
    </w:p>
    <w:p w14:paraId="3C8C683D">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bookmarkStart w:id="9" w:name="_Hlk34211068"/>
      <w:r>
        <w:rPr>
          <w:rFonts w:hint="eastAsia" w:ascii="仿宋_GB2312" w:hAnsi="仿宋_GB2312" w:eastAsia="仿宋_GB2312" w:cs="仿宋_GB2312"/>
          <w:kern w:val="0"/>
          <w:sz w:val="32"/>
          <w:szCs w:val="32"/>
        </w:rPr>
        <w:t>①水质自动监测系统中所有仪器设备(仪表、水泵、控制柜、PLC、稳压器、工控机、仪器防雷设施等)和数据传输软件及免费升级的部分皆为维修维护范围，其所有设备的损坏皆由运维方负责维修或更换，用于维修的配件必须符合国家标准，不得使用假冒伪劣产品。</w:t>
      </w:r>
    </w:p>
    <w:p w14:paraId="7187BA02">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②仪器设备故障，运维人员应在发生故障之时起</w:t>
      </w:r>
      <w:r>
        <w:rPr>
          <w:rFonts w:hint="eastAsia" w:ascii="仿宋_GB2312" w:hAnsi="仿宋_GB2312" w:eastAsia="仿宋_GB2312" w:cs="仿宋_GB2312"/>
          <w:color w:val="000000"/>
          <w:kern w:val="0"/>
          <w:sz w:val="32"/>
          <w:szCs w:val="32"/>
        </w:rPr>
        <w:t>1小时（工作时间）</w:t>
      </w:r>
      <w:r>
        <w:rPr>
          <w:rFonts w:hint="eastAsia" w:ascii="仿宋_GB2312" w:hAnsi="仿宋_GB2312" w:eastAsia="仿宋_GB2312" w:cs="仿宋_GB2312"/>
          <w:kern w:val="0"/>
          <w:sz w:val="32"/>
          <w:szCs w:val="32"/>
        </w:rPr>
        <w:t>内必须派人到达现场修理。未在12小时内派人到达现场修理，采购人可委托其它单位或人员修理，所发生的费用从中标人维修费内扣除。</w:t>
      </w:r>
    </w:p>
    <w:p w14:paraId="7EF7D45C">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③运维方累计3次未能及时履行维修责任，采购人有权单方面中止协议，扣除相应维修费用；运维方应赔偿由此给采购人造成的损失。</w:t>
      </w:r>
      <w:bookmarkEnd w:id="9"/>
    </w:p>
    <w:p w14:paraId="049AD486">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(3)水质自动站土建部分管理和维修考核指标：</w:t>
      </w:r>
    </w:p>
    <w:p w14:paraId="42D7B8F9">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bookmarkStart w:id="10" w:name="_Hlk34211922"/>
      <w:r>
        <w:rPr>
          <w:rFonts w:hint="eastAsia" w:ascii="仿宋_GB2312" w:hAnsi="仿宋_GB2312" w:eastAsia="仿宋_GB2312" w:cs="仿宋_GB2312"/>
          <w:kern w:val="0"/>
          <w:sz w:val="32"/>
          <w:szCs w:val="32"/>
        </w:rPr>
        <w:t>①土建部分(包括站房、浮筒、护坡、内装饰、水电、防雷设施等)应加强日常管理和维修维护，所有物品或部件(以正式移交之日的情况为基准)损伤、损坏皆由中标人负责更换或修复。</w:t>
      </w:r>
    </w:p>
    <w:p w14:paraId="68E00D4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②土建部分(包括站房、浮筒、护坡、内装饰</w:t>
      </w:r>
      <w:r>
        <w:rPr>
          <w:rFonts w:hint="eastAsia" w:ascii="仿宋_GB2312" w:hAnsi="仿宋_GB2312" w:eastAsia="仿宋_GB2312" w:cs="仿宋_GB2312"/>
          <w:color w:val="FF0000"/>
          <w:kern w:val="0"/>
          <w:sz w:val="32"/>
          <w:szCs w:val="32"/>
        </w:rPr>
        <w:t>、</w:t>
      </w:r>
      <w:r>
        <w:rPr>
          <w:rFonts w:hint="eastAsia" w:ascii="仿宋_GB2312" w:hAnsi="仿宋_GB2312" w:eastAsia="仿宋_GB2312" w:cs="仿宋_GB2312"/>
          <w:kern w:val="0"/>
          <w:sz w:val="32"/>
          <w:szCs w:val="32"/>
        </w:rPr>
        <w:t>水电、防雷设施等)要定期维修维护保证完好。</w:t>
      </w:r>
    </w:p>
    <w:p w14:paraId="766B7C44">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③土建部分(包括站房、浮筒、内装饰、水电、防雷设施等)的所有物品或部件未及时更换或修复影响系统运行或造成不良影响，采购人可自行更换或修复，所发生的费用从运行管理及维修费中扣除。</w:t>
      </w:r>
      <w:bookmarkEnd w:id="10"/>
    </w:p>
    <w:p w14:paraId="148B447A">
      <w:pPr>
        <w:pageBreakBefore w:val="0"/>
        <w:widowControl/>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4、数据服务要求</w:t>
      </w:r>
    </w:p>
    <w:p w14:paraId="3DCEB4E4">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kern w:val="0"/>
          <w:sz w:val="32"/>
          <w:szCs w:val="32"/>
        </w:rPr>
        <w:t>运维方应做好数据上传服务，对接好福建省、福州市水环境质量监测数据管理平台，及时准确地将每日监测数据完整地上传至省、市平台，并对超标的数据及时进行预警，对于异常的监测数据和监测数据上传至省、市平台出现异常时，应及时查找原因并采取措施予以解决，同时向采购方反馈相关情况。</w:t>
      </w:r>
    </w:p>
    <w:p w14:paraId="3DFE6DFD">
      <w:pPr>
        <w:pageBreakBefore w:val="0"/>
        <w:widowControl/>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sz w:val="32"/>
          <w:szCs w:val="32"/>
          <w:highlight w:val="yellow"/>
        </w:rPr>
      </w:pPr>
      <w:r>
        <w:rPr>
          <w:rFonts w:hint="eastAsia" w:ascii="仿宋_GB2312" w:hAnsi="仿宋_GB2312" w:eastAsia="仿宋_GB2312" w:cs="仿宋_GB2312"/>
          <w:b/>
          <w:sz w:val="32"/>
          <w:szCs w:val="32"/>
        </w:rPr>
        <w:t>5、管理要求</w:t>
      </w:r>
    </w:p>
    <w:p w14:paraId="64CE509C">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bookmarkStart w:id="11" w:name="_Hlk34211975"/>
      <w:r>
        <w:rPr>
          <w:rFonts w:hint="eastAsia" w:ascii="仿宋_GB2312" w:hAnsi="仿宋_GB2312" w:eastAsia="仿宋_GB2312" w:cs="仿宋_GB2312"/>
          <w:b/>
          <w:bCs/>
          <w:kern w:val="0"/>
          <w:sz w:val="32"/>
          <w:szCs w:val="32"/>
        </w:rPr>
        <w:t>(1)</w:t>
      </w:r>
      <w:r>
        <w:rPr>
          <w:rFonts w:hint="eastAsia" w:ascii="仿宋_GB2312" w:hAnsi="仿宋_GB2312" w:eastAsia="仿宋_GB2312" w:cs="仿宋_GB2312"/>
          <w:kern w:val="0"/>
          <w:sz w:val="32"/>
          <w:szCs w:val="32"/>
        </w:rPr>
        <w:t>在委托管理期间，中标人拥有管理自主权，但没有对外经营权，也不得委托给第三方运营管理。未经采购人同意，中标人不得利用本项目的所有资料对外开展技术交流、业务联系、数据交换等。</w:t>
      </w:r>
    </w:p>
    <w:p w14:paraId="59F7585F">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(2)</w:t>
      </w:r>
      <w:r>
        <w:rPr>
          <w:rFonts w:hint="eastAsia" w:ascii="仿宋_GB2312" w:hAnsi="仿宋_GB2312" w:eastAsia="仿宋_GB2312" w:cs="仿宋_GB2312"/>
          <w:kern w:val="0"/>
          <w:sz w:val="32"/>
          <w:szCs w:val="32"/>
        </w:rPr>
        <w:t xml:space="preserve">在委托管理期间，中标人应严格按照国家有关部门制定的规章制度和采购人制订的操作规范，建立质量管理体系，对所管理的系统及仪器设备进行规范操作和精心维护及必要维修，保证系统及仪器设备的正常运行，达到采购人提出的运行管理和维修考核指标要求。中标人必须接受采购人代表提出的各项指令，接受采购人代表的检查和考核。 </w:t>
      </w:r>
    </w:p>
    <w:p w14:paraId="01061D57">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(3)</w:t>
      </w:r>
      <w:r>
        <w:rPr>
          <w:rFonts w:hint="eastAsia" w:ascii="仿宋_GB2312" w:hAnsi="仿宋_GB2312" w:eastAsia="仿宋_GB2312" w:cs="仿宋_GB2312"/>
          <w:kern w:val="0"/>
          <w:sz w:val="32"/>
          <w:szCs w:val="32"/>
        </w:rPr>
        <w:t>在委托管理期间，中标人承担仪器设备的保管、安全、消防责任，应建立安全生产制度，配齐专用安全、消防等器材，切实消除安全隐患，保证仪器设备完好无损。如有丢失或损坏，中标人照价赔偿或恢复原状。遇到台风、暴雨等自然灾害，提前做好防范工作。</w:t>
      </w:r>
    </w:p>
    <w:p w14:paraId="62A04A80">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(4)</w:t>
      </w:r>
      <w:r>
        <w:rPr>
          <w:rFonts w:hint="eastAsia" w:ascii="仿宋_GB2312" w:hAnsi="仿宋_GB2312" w:eastAsia="仿宋_GB2312" w:cs="仿宋_GB2312"/>
          <w:kern w:val="0"/>
          <w:sz w:val="32"/>
          <w:szCs w:val="32"/>
        </w:rPr>
        <w:t>中标人应承担对监测数据的保密责任。未经采购人许可中标人不能向其他部门、单位或个人传递、泄露监测数据，否则中标人应向采购人支付违约金，并赔偿由此给采购人造成的损失，采购人可以终止合同。</w:t>
      </w:r>
    </w:p>
    <w:p w14:paraId="3A56FDAC">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(5)</w:t>
      </w:r>
      <w:r>
        <w:rPr>
          <w:rFonts w:hint="eastAsia" w:ascii="仿宋_GB2312" w:hAnsi="仿宋_GB2312" w:eastAsia="仿宋_GB2312" w:cs="仿宋_GB2312"/>
          <w:kern w:val="0"/>
          <w:sz w:val="32"/>
          <w:szCs w:val="32"/>
        </w:rPr>
        <w:t>中标人要建立规范的档案管理制度，各项运行管理和维修维护均应记录，按时将资料(包括实验室比对、标准溶液核查、准确度和精密度考核、仪器检查维护及维修记录等)提交采购人存档。中标人应定期整理计算机硬盘数据，根据工作需要编制水站的自动监测原始数据月报等报表。</w:t>
      </w:r>
    </w:p>
    <w:p w14:paraId="364E8760">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(6)</w:t>
      </w:r>
      <w:r>
        <w:rPr>
          <w:rFonts w:hint="eastAsia" w:ascii="仿宋_GB2312" w:hAnsi="仿宋_GB2312" w:eastAsia="仿宋_GB2312" w:cs="仿宋_GB2312"/>
          <w:kern w:val="0"/>
          <w:sz w:val="32"/>
          <w:szCs w:val="32"/>
        </w:rPr>
        <w:t>人事管理</w:t>
      </w:r>
    </w:p>
    <w:p w14:paraId="7DAC4A2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①本项目所需技术管理人员均由中标人负责派出。其中，主要技术管理人员应符合其投标时拟派人员要求。</w:t>
      </w:r>
    </w:p>
    <w:p w14:paraId="55A6E4E2">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②在委托管理期间，中标人拥有用人自主权，有权在计划数内招聘、辞退和奖罚员工。</w:t>
      </w:r>
    </w:p>
    <w:p w14:paraId="7EA79D05">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③在委托管理期间，中标人应按照国家有关用人用工制度和劳动管理等法律法规进行人事管理；采购人对中标人员工人身安全、劳资纠纷概不负责。</w:t>
      </w:r>
    </w:p>
    <w:p w14:paraId="7F3FD0BC">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(7)</w:t>
      </w:r>
      <w:r>
        <w:rPr>
          <w:rFonts w:hint="eastAsia" w:ascii="仿宋_GB2312" w:hAnsi="仿宋_GB2312" w:eastAsia="仿宋_GB2312" w:cs="仿宋_GB2312"/>
          <w:kern w:val="0"/>
          <w:sz w:val="32"/>
          <w:szCs w:val="32"/>
        </w:rPr>
        <w:t>财务管理</w:t>
      </w:r>
    </w:p>
    <w:p w14:paraId="4E37A951">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①中标人的财务管理范围是对本项目委托管理过程所发生的管理费用的财务管理。</w:t>
      </w:r>
    </w:p>
    <w:p w14:paraId="48676D5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②在委托管理期间，中标人应遵守国家有关财务会计法规对本项目财务管理进行单独列账核算，采购人有权对中标人本项目财务管理进行监督。</w:t>
      </w:r>
    </w:p>
    <w:p w14:paraId="42DB093C">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(8)</w:t>
      </w:r>
      <w:r>
        <w:rPr>
          <w:rFonts w:hint="eastAsia" w:ascii="仿宋_GB2312" w:hAnsi="仿宋_GB2312" w:eastAsia="仿宋_GB2312" w:cs="仿宋_GB2312"/>
          <w:kern w:val="0"/>
          <w:sz w:val="32"/>
          <w:szCs w:val="32"/>
        </w:rPr>
        <w:t>本项目委托管理过程中需经采购人审核同意事项：</w:t>
      </w:r>
    </w:p>
    <w:p w14:paraId="67FE2015">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①派出的项目和技术管理负责人需中途更换；</w:t>
      </w:r>
    </w:p>
    <w:p w14:paraId="1B21A4F1">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②项目运行管理操作规范和规章制度；</w:t>
      </w:r>
    </w:p>
    <w:p w14:paraId="74C166D2">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③固定资产的增添、外购及维修费用支出等；</w:t>
      </w:r>
    </w:p>
    <w:p w14:paraId="3A928C1D">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 4 \* GB3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④</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监测参数的增减和监测分析方法的变更。</w:t>
      </w:r>
    </w:p>
    <w:p w14:paraId="2315F7E6">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(9)</w:t>
      </w:r>
      <w:r>
        <w:rPr>
          <w:rFonts w:hint="eastAsia" w:ascii="仿宋_GB2312" w:hAnsi="仿宋_GB2312" w:eastAsia="仿宋_GB2312" w:cs="仿宋_GB2312"/>
          <w:kern w:val="0"/>
          <w:sz w:val="32"/>
          <w:szCs w:val="32"/>
        </w:rPr>
        <w:t>筹备及移交</w:t>
      </w:r>
    </w:p>
    <w:p w14:paraId="1CD3F159">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①委托合同生效后10天内，中标人向采购人提交运行工作计划；</w:t>
      </w:r>
    </w:p>
    <w:p w14:paraId="09DE9F0E">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②委托合同生效10天后，采购人向中标人办理财产移交手续。</w:t>
      </w:r>
    </w:p>
    <w:p w14:paraId="3C8886A5">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③期满后10天内，中标人向采购人办理财产移交手续，期间中标人需保证仪器设备的正常运行及在线数据的正常上报。</w:t>
      </w:r>
    </w:p>
    <w:p w14:paraId="5CA2485F">
      <w:pPr>
        <w:pageBreakBefore w:val="0"/>
        <w:widowControl/>
        <w:kinsoku/>
        <w:wordWrap/>
        <w:overflowPunct/>
        <w:topLinePunct w:val="0"/>
        <w:autoSpaceDE/>
        <w:autoSpaceDN/>
        <w:bidi w:val="0"/>
        <w:adjustRightInd/>
        <w:snapToGrid/>
        <w:spacing w:line="600" w:lineRule="exact"/>
        <w:ind w:right="45"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 4 \* GB3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④</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期满财产移交时，中标人应保证委托运行管理及维修的全部资产(包括全部产权和建筑物、设备及配套设施)完好，系统及各参数仪表正常运行，否则也要相应扣除或补偿其费用。</w:t>
      </w:r>
    </w:p>
    <w:p w14:paraId="58BF5BF2">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(10)</w:t>
      </w:r>
      <w:r>
        <w:rPr>
          <w:rFonts w:hint="eastAsia" w:ascii="仿宋_GB2312" w:hAnsi="仿宋_GB2312" w:eastAsia="仿宋_GB2312" w:cs="仿宋_GB2312"/>
          <w:kern w:val="0"/>
          <w:sz w:val="32"/>
          <w:szCs w:val="32"/>
        </w:rPr>
        <w:t>其他</w:t>
      </w:r>
    </w:p>
    <w:p w14:paraId="40374149">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①中标人要配合做好站点的相关检查、参观等工作。</w:t>
      </w:r>
    </w:p>
    <w:p w14:paraId="22D0565A">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②运营管理期间，如果采购人要改造、升级监测系统或开展相关科研工作的，中标人有义务配合工作。</w:t>
      </w:r>
      <w:bookmarkEnd w:id="11"/>
    </w:p>
    <w:p w14:paraId="2D8D8374">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6、运行管理费及维修费的支付</w:t>
      </w:r>
    </w:p>
    <w:p w14:paraId="28F8BAEE">
      <w:pPr>
        <w:pageBreakBefore w:val="0"/>
        <w:widowControl/>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kern w:val="0"/>
          <w:sz w:val="32"/>
          <w:szCs w:val="32"/>
        </w:rPr>
      </w:pPr>
      <w:bookmarkStart w:id="12" w:name="_Hlk34212947"/>
      <w:r>
        <w:rPr>
          <w:rFonts w:hint="eastAsia" w:ascii="仿宋_GB2312" w:hAnsi="仿宋_GB2312" w:eastAsia="仿宋_GB2312" w:cs="仿宋_GB2312"/>
          <w:b/>
          <w:bCs/>
          <w:kern w:val="0"/>
          <w:sz w:val="32"/>
          <w:szCs w:val="32"/>
        </w:rPr>
        <w:t>(1)</w:t>
      </w:r>
      <w:r>
        <w:rPr>
          <w:rFonts w:hint="eastAsia" w:ascii="仿宋_GB2312" w:hAnsi="仿宋_GB2312" w:eastAsia="仿宋_GB2312" w:cs="仿宋_GB2312"/>
          <w:kern w:val="0"/>
          <w:sz w:val="32"/>
          <w:szCs w:val="32"/>
        </w:rPr>
        <w:t>办理财产移交手续后即正式进入委托管理阶段。在委托管理期间，采购人向运维方支付委托运行管理费及维修费。运行管理费及维修费采取分期支付的办法，从正式委托管理之日开始计算。采购人每年按照水站考核意见汇总情况支付给运维方费用，运营管理期满办结财产移交手续后付清余款。</w:t>
      </w:r>
    </w:p>
    <w:p w14:paraId="6928025E">
      <w:pPr>
        <w:pageBreakBefore w:val="0"/>
        <w:widowControl/>
        <w:kinsoku/>
        <w:wordWrap/>
        <w:overflowPunct/>
        <w:topLinePunct w:val="0"/>
        <w:autoSpaceDE/>
        <w:autoSpaceDN/>
        <w:bidi w:val="0"/>
        <w:adjustRightInd/>
        <w:snapToGrid/>
        <w:spacing w:line="600" w:lineRule="exact"/>
        <w:ind w:right="45" w:firstLine="643"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(2)</w:t>
      </w:r>
      <w:r>
        <w:rPr>
          <w:rFonts w:hint="eastAsia" w:ascii="仿宋_GB2312" w:hAnsi="仿宋_GB2312" w:eastAsia="仿宋_GB2312" w:cs="仿宋_GB2312"/>
          <w:kern w:val="0"/>
          <w:sz w:val="32"/>
          <w:szCs w:val="32"/>
        </w:rPr>
        <w:t>在委托管理期间采取管理费与考核相挂钩的办法，采购人将按招标文件和委托合同的运行管理和维修考核指标规定对运维方进行考核，运维方的运行管理和维修考核指标未达到采购人规定的要求时要相应扣除其费用。</w:t>
      </w:r>
    </w:p>
    <w:bookmarkEnd w:id="12"/>
    <w:p w14:paraId="3EEFBC0C">
      <w:pPr>
        <w:pStyle w:val="3"/>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bookmarkStart w:id="13" w:name="_Hlk34212990"/>
      <w:r>
        <w:rPr>
          <w:rFonts w:hint="eastAsia" w:ascii="仿宋_GB2312" w:hAnsi="仿宋_GB2312" w:eastAsia="仿宋_GB2312" w:cs="仿宋_GB2312"/>
          <w:sz w:val="32"/>
          <w:szCs w:val="32"/>
        </w:rPr>
        <w:t>7、中标人承担的有关费用</w:t>
      </w:r>
    </w:p>
    <w:p w14:paraId="0E0DE16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本项目设备设施若办理财产保险，受益人为福州市生态环境局，费用由运维方负责；未办理财产保险造成财产损失无法理赔的部分由运维方负责赔付。</w:t>
      </w:r>
    </w:p>
    <w:p w14:paraId="458D7D2B">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运维方根据具体的投标方案自行考虑是否需要本项目相关设备和系统厂家对运维方进行技术培训，费用由运维方负责。</w:t>
      </w:r>
      <w:bookmarkEnd w:id="13"/>
    </w:p>
    <w:p w14:paraId="6007B668"/>
    <w:p w14:paraId="22EDA12E"/>
    <w:sectPr>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oBVT" w:date="2022-08-30T10:14:00Z" w:initials="A">
    <w:p w14:paraId="5652172D">
      <w:pPr>
        <w:pStyle w:val="4"/>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652172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utoBVT">
    <w15:presenceInfo w15:providerId="None" w15:userId="AutoBV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3C7"/>
    <w:rsid w:val="000032CE"/>
    <w:rsid w:val="000E3424"/>
    <w:rsid w:val="00127D80"/>
    <w:rsid w:val="00150221"/>
    <w:rsid w:val="001F6D4C"/>
    <w:rsid w:val="00276D1D"/>
    <w:rsid w:val="002D2FBE"/>
    <w:rsid w:val="00461950"/>
    <w:rsid w:val="004C0194"/>
    <w:rsid w:val="00584719"/>
    <w:rsid w:val="005B77D5"/>
    <w:rsid w:val="0075104D"/>
    <w:rsid w:val="00752F06"/>
    <w:rsid w:val="008430D3"/>
    <w:rsid w:val="00996FA5"/>
    <w:rsid w:val="009B4523"/>
    <w:rsid w:val="009E738B"/>
    <w:rsid w:val="00A343C7"/>
    <w:rsid w:val="00A54209"/>
    <w:rsid w:val="00B0206D"/>
    <w:rsid w:val="00B52CE4"/>
    <w:rsid w:val="00C81C14"/>
    <w:rsid w:val="00D457F7"/>
    <w:rsid w:val="00F17480"/>
    <w:rsid w:val="1E191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2"/>
      <w:lang w:val="en-US" w:eastAsia="zh-CN" w:bidi="ar-SA"/>
    </w:rPr>
  </w:style>
  <w:style w:type="paragraph" w:styleId="2">
    <w:name w:val="heading 1"/>
    <w:basedOn w:val="1"/>
    <w:next w:val="1"/>
    <w:link w:val="14"/>
    <w:qFormat/>
    <w:uiPriority w:val="9"/>
    <w:pPr>
      <w:keepNext/>
      <w:keepLines/>
      <w:spacing w:line="360" w:lineRule="auto"/>
      <w:jc w:val="left"/>
      <w:outlineLvl w:val="0"/>
    </w:pPr>
    <w:rPr>
      <w:b/>
      <w:bCs/>
      <w:kern w:val="44"/>
      <w:sz w:val="28"/>
      <w:szCs w:val="44"/>
    </w:rPr>
  </w:style>
  <w:style w:type="paragraph" w:styleId="3">
    <w:name w:val="heading 2"/>
    <w:basedOn w:val="1"/>
    <w:next w:val="1"/>
    <w:link w:val="15"/>
    <w:qFormat/>
    <w:uiPriority w:val="9"/>
    <w:pPr>
      <w:keepNext/>
      <w:keepLines/>
      <w:spacing w:line="360" w:lineRule="auto"/>
      <w:jc w:val="left"/>
      <w:outlineLvl w:val="1"/>
    </w:pPr>
    <w:rPr>
      <w:b/>
      <w:bCs/>
      <w:sz w:val="28"/>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6"/>
    <w:unhideWhenUsed/>
    <w:qFormat/>
    <w:uiPriority w:val="99"/>
    <w:pPr>
      <w:jc w:val="left"/>
    </w:pPr>
    <w:rPr>
      <w:rFonts w:cstheme="minorBidi"/>
    </w:rPr>
  </w:style>
  <w:style w:type="paragraph" w:styleId="5">
    <w:name w:val="Balloon Text"/>
    <w:basedOn w:val="1"/>
    <w:link w:val="20"/>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itle"/>
    <w:basedOn w:val="1"/>
    <w:next w:val="1"/>
    <w:link w:val="17"/>
    <w:qFormat/>
    <w:uiPriority w:val="10"/>
    <w:pPr>
      <w:spacing w:before="240" w:after="60"/>
      <w:jc w:val="center"/>
      <w:outlineLvl w:val="0"/>
    </w:pPr>
    <w:rPr>
      <w:rFonts w:ascii="Cambria" w:hAnsi="Cambria"/>
      <w:b/>
      <w:bCs/>
      <w:sz w:val="44"/>
      <w:szCs w:val="32"/>
    </w:rPr>
  </w:style>
  <w:style w:type="character" w:styleId="11">
    <w:name w:val="annotation reference"/>
    <w:basedOn w:val="10"/>
    <w:unhideWhenUsed/>
    <w:qFormat/>
    <w:uiPriority w:val="99"/>
    <w:rPr>
      <w:sz w:val="21"/>
      <w:szCs w:val="21"/>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标题 1 Char"/>
    <w:basedOn w:val="10"/>
    <w:link w:val="2"/>
    <w:qFormat/>
    <w:uiPriority w:val="9"/>
    <w:rPr>
      <w:rFonts w:ascii="Times New Roman" w:hAnsi="Times New Roman" w:eastAsia="宋体" w:cs="Times New Roman"/>
      <w:b/>
      <w:bCs/>
      <w:kern w:val="44"/>
      <w:sz w:val="28"/>
      <w:szCs w:val="44"/>
    </w:rPr>
  </w:style>
  <w:style w:type="character" w:customStyle="1" w:styleId="15">
    <w:name w:val="标题 2 Char"/>
    <w:basedOn w:val="10"/>
    <w:link w:val="3"/>
    <w:qFormat/>
    <w:uiPriority w:val="9"/>
    <w:rPr>
      <w:rFonts w:ascii="Times New Roman" w:hAnsi="Times New Roman" w:eastAsia="宋体" w:cs="Times New Roman"/>
      <w:b/>
      <w:bCs/>
      <w:sz w:val="28"/>
      <w:szCs w:val="32"/>
    </w:rPr>
  </w:style>
  <w:style w:type="character" w:customStyle="1" w:styleId="16">
    <w:name w:val="批注文字 Char"/>
    <w:basedOn w:val="10"/>
    <w:link w:val="4"/>
    <w:qFormat/>
    <w:uiPriority w:val="99"/>
    <w:rPr>
      <w:rFonts w:ascii="Times New Roman" w:hAnsi="Times New Roman" w:eastAsia="宋体"/>
      <w:sz w:val="24"/>
    </w:rPr>
  </w:style>
  <w:style w:type="character" w:customStyle="1" w:styleId="17">
    <w:name w:val="标题 Char"/>
    <w:basedOn w:val="10"/>
    <w:link w:val="8"/>
    <w:qFormat/>
    <w:uiPriority w:val="10"/>
    <w:rPr>
      <w:rFonts w:ascii="Cambria" w:hAnsi="Cambria" w:eastAsia="宋体" w:cs="Times New Roman"/>
      <w:b/>
      <w:bCs/>
      <w:sz w:val="44"/>
      <w:szCs w:val="32"/>
    </w:rPr>
  </w:style>
  <w:style w:type="character" w:customStyle="1" w:styleId="18">
    <w:name w:val="批注文字 Char1"/>
    <w:basedOn w:val="10"/>
    <w:semiHidden/>
    <w:qFormat/>
    <w:uiPriority w:val="99"/>
    <w:rPr>
      <w:rFonts w:ascii="Times New Roman" w:hAnsi="Times New Roman" w:eastAsia="宋体" w:cs="Times New Roman"/>
      <w:sz w:val="24"/>
    </w:rPr>
  </w:style>
  <w:style w:type="character" w:customStyle="1" w:styleId="19">
    <w:name w:val="标题 Char1"/>
    <w:basedOn w:val="10"/>
    <w:qFormat/>
    <w:uiPriority w:val="10"/>
    <w:rPr>
      <w:rFonts w:eastAsia="宋体" w:asciiTheme="majorHAnsi" w:hAnsiTheme="majorHAnsi" w:cstheme="majorBidi"/>
      <w:b/>
      <w:bCs/>
      <w:sz w:val="32"/>
      <w:szCs w:val="32"/>
    </w:rPr>
  </w:style>
  <w:style w:type="character" w:customStyle="1" w:styleId="20">
    <w:name w:val="批注框文本 Char"/>
    <w:basedOn w:val="10"/>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4505</Words>
  <Characters>4605</Characters>
  <Lines>33</Lines>
  <Paragraphs>9</Paragraphs>
  <TotalTime>36</TotalTime>
  <ScaleCrop>false</ScaleCrop>
  <LinksUpToDate>false</LinksUpToDate>
  <CharactersWithSpaces>4654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2022-08-30T02:14:00Z</dcterms:created>
  <dc:creator>YD</dc:creator>
  <cp:lastModifiedBy>陈樵</cp:lastModifiedBy>
  <cp:lastPrinted>2024-09-05T09:46:00Z</cp:lastPrinted>
  <dcterms:modified xsi:type="dcterms:W3CDTF">2026-10-12T06:49:24Z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eyJoZGlkIjoiYTQxOWNhNGJlZDQ3YzUxZGNlMDQ3Mjc0NTQ3ODE4NmIiLCJ1c2VySWQiOiIyODA0MDE5MTQifQ==</vt:lpwstr>
  </property>
  <property fmtid="{D5CDD505-2E9C-101B-9397-08002B2CF9AE}" pid="3" name="KSOProductBuildVer">
    <vt:lpwstr>2052-12.1.0.28505</vt:lpwstr>
  </property>
  <property fmtid="{D5CDD505-2E9C-101B-9397-08002B2CF9AE}" pid="4" name="ICV">
    <vt:lpwstr>C4B92233871F4856A3D91F761295AB63_13</vt:lpwstr>
  </property>
</Properties>
</file>